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C771">
      <w:pPr>
        <w:widowControl/>
        <w:jc w:val="left"/>
        <w:rPr>
          <w:rFonts w:ascii="仿宋" w:hAnsi="仿宋" w:eastAsia="仿宋" w:cs="仿宋_GB2312"/>
          <w:b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附件一：</w:t>
      </w:r>
    </w:p>
    <w:p w14:paraId="603D650E">
      <w:pPr>
        <w:widowControl/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报价表</w:t>
      </w:r>
    </w:p>
    <w:p w14:paraId="526C9DD4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253"/>
        <w:tblOverlap w:val="never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79"/>
        <w:gridCol w:w="1707"/>
        <w:gridCol w:w="3260"/>
        <w:gridCol w:w="2081"/>
      </w:tblGrid>
      <w:tr w14:paraId="2EDC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6E66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bookmarkStart w:id="0" w:name="_Hlk204098335"/>
            <w:bookmarkStart w:id="1" w:name="OLE_LINK9"/>
            <w:bookmarkStart w:id="2" w:name="OLE_LINK8"/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租赁名称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B4C8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报价（元/床/天）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4A26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每月参考洗涤量（单位：床）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760E">
            <w:pPr>
              <w:snapToGrid w:val="0"/>
              <w:spacing w:line="32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织物配置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55BB">
            <w:pPr>
              <w:snapToGrid w:val="0"/>
              <w:spacing w:line="320" w:lineRule="exact"/>
              <w:ind w:firstLine="482" w:firstLineChars="200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备注</w:t>
            </w:r>
          </w:p>
        </w:tc>
      </w:tr>
      <w:bookmarkEnd w:id="0"/>
      <w:tr w14:paraId="3221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EF81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病区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40AB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7096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14400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263B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床单、被套、枕套、病衣、病裤、枕芯、垫被、冬（夏）被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E338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服务内容及要求详见附件二</w:t>
            </w:r>
          </w:p>
        </w:tc>
      </w:tr>
      <w:tr w14:paraId="6B9C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DEAE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新生儿科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0640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B0E4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1400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B55A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小床单、小被套、小包被、</w:t>
            </w:r>
          </w:p>
          <w:p w14:paraId="7EBA8CA7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浴巾、毛毛衣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F3F5AD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</w:tr>
      <w:tr w14:paraId="256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86C5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诊疗床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2109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367D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200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B44E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床单、被套、枕套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7818F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</w:tr>
      <w:tr w14:paraId="6F5F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AE11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说明：供应商本次报价包含</w:t>
            </w:r>
            <w:r>
              <w:rPr>
                <w:rFonts w:hint="eastAsia" w:ascii="仿宋" w:hAnsi="仿宋" w:eastAsia="仿宋" w:cs="仿宋_GB2312"/>
                <w:sz w:val="24"/>
              </w:rPr>
              <w:t>全院工作服、值班室三件套的租赁洗涤、手术类织物的洗涤费用，</w:t>
            </w: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提供本次服务范围的人员工资、奖金、劳保费用、加班费、各项服务待遇、保险费用；医用织物洗涤所用的所有清洁剂和清洁用品等、洗涤专业设施等专业工具设备；租赁医用织物的配置/更新费用、信息化费用、运输费、管理费、法定税费等，供应商应综合考虑以上项目的费用已包括在调研报价中。</w:t>
            </w:r>
          </w:p>
        </w:tc>
      </w:tr>
      <w:bookmarkEnd w:id="1"/>
      <w:bookmarkEnd w:id="2"/>
    </w:tbl>
    <w:p w14:paraId="4E541007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51051EE4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025183A5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供应商（公章）：</w:t>
      </w:r>
    </w:p>
    <w:p w14:paraId="30742E73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法定代表人或委托代理人签名：</w:t>
      </w:r>
    </w:p>
    <w:p w14:paraId="30E6BC5C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日 期：</w:t>
      </w:r>
    </w:p>
    <w:p w14:paraId="15F7B798">
      <w:pPr>
        <w:widowControl/>
        <w:spacing w:line="580" w:lineRule="exact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注：1、供应商必须就“采购需求”中的全部内容作完整唯一报价，报价文件只允许有一个报价方案，有选择的或有条件的报价将不予接受。</w:t>
      </w:r>
    </w:p>
    <w:p w14:paraId="611AE0D7">
      <w:pPr>
        <w:widowControl/>
        <w:spacing w:line="580" w:lineRule="exact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2、供应商应如实填写报价表的各项内容，漏填错填，响应无效。</w:t>
      </w:r>
    </w:p>
    <w:p w14:paraId="1E5A34CC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4F5B0EB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A55DB"/>
    <w:rsid w:val="0DB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2025-07-30T00:43:00Z</dcterms:created>
  <dc:creator>WPS_1530792786</dc:creator>
  <cp:lastModifiedBy>WPS_1530792786</cp:lastModifiedBy>
  <dcterms:modified xsi:type="dcterms:W3CDTF">2025-07-30T00:43:39Z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01B50493B7264109B24510A982FD0E16_11</vt:lpwstr>
  </property>
  <property fmtid="{D5CDD505-2E9C-101B-9397-08002B2CF9AE}" pid="4" name="KSOTemplateDocerSaveRecord">
    <vt:lpwstr>eyJoZGlkIjoiNmRlMTMyMWVjYWIzZTdkMmE0MTllOTBkZTllMjU2MzIiLCJ1c2VySWQiOiIzODM5NTk0NjEifQ==</vt:lpwstr>
  </property>
</Properties>
</file>