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6"/>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155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4K荧光腹腔镜系统</w:t>
            </w:r>
          </w:p>
        </w:tc>
        <w:tc>
          <w:tcPr>
            <w:tcW w:w="6463" w:type="dxa"/>
            <w:gridSpan w:val="2"/>
            <w:tcBorders>
              <w:top w:val="single" w:color="auto" w:sz="4" w:space="0"/>
              <w:left w:val="nil"/>
              <w:bottom w:val="single" w:color="auto" w:sz="4" w:space="0"/>
              <w:right w:val="single" w:color="auto" w:sz="4" w:space="0"/>
            </w:tcBorders>
            <w:noWrap w:val="0"/>
            <w:vAlign w:val="center"/>
          </w:tcPr>
          <w:p w14:paraId="55D7AB7D">
            <w:pPr>
              <w:wordWrap w:val="0"/>
              <w:ind w:firstLine="1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rPr>
              <w:t>（一）总体要求：</w:t>
            </w:r>
          </w:p>
          <w:p w14:paraId="0D390CD9">
            <w:pPr>
              <w:wordWrap w:val="0"/>
              <w:spacing w:before="38"/>
              <w:ind w:left="40" w:right="140" w:firstLine="7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本系统可作为4K白光超高清腹腔镜使用，同时与医用内窥镜、荧光造影剂吲哚菁绿（ICG）联合使用，适用于在内窥镜手术中提供实时的可见光影像及近红外荧光影像。</w:t>
            </w:r>
          </w:p>
          <w:p w14:paraId="546D2EB4">
            <w:pPr>
              <w:wordWrap w:val="0"/>
              <w:spacing w:before="135"/>
              <w:ind w:firstLine="1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rPr>
              <w:t>（二）内窥镜荧光摄像系统：</w:t>
            </w:r>
          </w:p>
          <w:p w14:paraId="39877600">
            <w:pPr>
              <w:wordWrap w:val="0"/>
              <w:spacing w:before="135"/>
              <w:ind w:firstLine="5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1．全数字化4K极清摄像系统：可同时捕捉可见光和近红外光图像；</w:t>
            </w:r>
          </w:p>
          <w:p w14:paraId="68859DA0">
            <w:pPr>
              <w:wordWrap w:val="0"/>
              <w:ind w:right="14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★2．具备CMOS芯片≥3个、双相机技术：具有两组相机模块，一个白光相机处理白光图像，一个专业荧光CMOS相机，独立处理荧光图像；</w:t>
            </w:r>
          </w:p>
          <w:p w14:paraId="5DD596F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3．多通道实时分光滤波技术，可获取60Hz高清白光和荧光图像，无闪烁，可直接满足腹腔外组织的荧光成像，无需关闭室内照明灯；实时流畅，荧光真实不漂浮，与非显影的组织，颜色对比度明显；</w:t>
            </w:r>
          </w:p>
          <w:p w14:paraId="79681D9E">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4．帧率60帧／秒或50帧／秒可选，画面流畅，无闪烁及干扰；</w:t>
            </w:r>
          </w:p>
          <w:p w14:paraId="150A89A4">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5．独立近红外CMOS芯片，可对光波长为850nm±30nm的近红外光实现荧光成像；</w:t>
            </w:r>
          </w:p>
          <w:p w14:paraId="4B517FA5">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6．分辨率：≥3840＊2160，逐行扫描，16：9，像素≥800万；</w:t>
            </w:r>
          </w:p>
          <w:p w14:paraId="3FD64AE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7．具有3种以上色调可选，可根据用户需求选择不同的色调，其中包括标准色调、柔和色调、自定义色调；</w:t>
            </w:r>
          </w:p>
          <w:p w14:paraId="3C58218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8．摄像头具有≥3个按键，可实现荧光模式切换，白平衡、亮度调节、录像、拍照、荧光增益调节等功能。</w:t>
            </w:r>
          </w:p>
          <w:p w14:paraId="5E5AED2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9．摄像头有两个可编程按键，可预设的功能包括录像、拍照、亮度调节、增益、白平衡等功能；</w:t>
            </w:r>
          </w:p>
          <w:p w14:paraId="0BC0BCCA">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10.4K超高清技术：可根据手术需要选择细节增强、色彩增强、暗场增强及去雾算法功能，以提高手术中组织和血管的辨识度，体现4K超高清的影像效果；</w:t>
            </w:r>
          </w:p>
          <w:p w14:paraId="61D7ED3E">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11．内窥镜荧光摄像主机至少具备2种及以上成像模式，ICG荧光模式及MB荧光或者导</w:t>
            </w:r>
            <w:bookmarkStart w:id="0" w:name="_GoBack"/>
            <w:bookmarkEnd w:id="0"/>
            <w:r>
              <w:rPr>
                <w:rFonts w:hint="eastAsia" w:asciiTheme="minorEastAsia" w:hAnsiTheme="minorEastAsia" w:eastAsiaTheme="minorEastAsia" w:cstheme="minorEastAsia"/>
                <w:color w:val="000000"/>
                <w:sz w:val="21"/>
                <w:szCs w:val="21"/>
              </w:rPr>
              <w:t>丝荧光等双染荧光，可实现输尿管荧光显影；</w:t>
            </w:r>
          </w:p>
          <w:p w14:paraId="71ECCA3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★12．支持同品牌同平台下与荧光影像工作站联合可实现半定量分析技术；</w:t>
            </w:r>
          </w:p>
          <w:p w14:paraId="7CC3F84A">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13．主机自带的菜单按键，对主机进行功能操作及参数设置，可操作的功能不少于20项，包括白平衡、拍照、录像、亮度调节、色调等；</w:t>
            </w:r>
          </w:p>
          <w:p w14:paraId="5128FF37">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14．主机面板具有≥3个快捷按键，可实现白平衡、拍照／录像、科室切换的功能；</w:t>
            </w:r>
          </w:p>
          <w:p w14:paraId="5C3DE8DF">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15．可通过AUX接口连接脚踏开关实现拍照、录像功能；</w:t>
            </w:r>
          </w:p>
          <w:p w14:paraId="23CB847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★16．采用专业荧光相机，荧光灵敏度可调节，可调节不少于20级。</w:t>
            </w:r>
          </w:p>
          <w:p w14:paraId="4DBC8381">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17．主机内置图像抓取及录像功能，内置USB3.0接口，可实现术中实时图像抓取和影像存储存储，存储的分辨率为4K或1080P可选，录制的视频可达3840＊2160,50帧；</w:t>
            </w:r>
          </w:p>
          <w:p w14:paraId="45BB41F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18．输出端口：4x3G-SDI、HDMI、12G-SDI为4K视频输出，DVI为1080P 视频输出；</w:t>
            </w:r>
          </w:p>
          <w:p w14:paraId="5631C25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19．输出分辨率为3840＊2160或4096＊2160可选；</w:t>
            </w:r>
          </w:p>
          <w:p w14:paraId="263A5F8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20．采用定焦镜头，焦距为23mm；</w:t>
            </w:r>
          </w:p>
          <w:p w14:paraId="50D37708">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21．荧光灵敏度高，ICG最低探测浓度≤200nmol／L，MB最低探测浓度≤600nmol/L;</w:t>
            </w:r>
          </w:p>
          <w:p w14:paraId="14D43DF7">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22．电气安全：医用设备电气安全CF级别I类防护，可应用于心脏设备；</w:t>
            </w:r>
          </w:p>
          <w:p w14:paraId="1EE86769">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23．采用先进的硬件架构及软件系统，软件安全性得到有效的保障；</w:t>
            </w:r>
          </w:p>
          <w:p w14:paraId="264D3C7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24．支持与三维重建或三维流域地形导航仪联合，可实现三维可视化流域地形＋荧光导航成像；</w:t>
            </w:r>
          </w:p>
          <w:p w14:paraId="3E96E7BA">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25．功能菜单支持多种语言，简体中文，繁体中文，英语等。</w:t>
            </w:r>
          </w:p>
          <w:p w14:paraId="5C5BDE81">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（三）医用内窥镜冷光源</w:t>
            </w:r>
          </w:p>
          <w:p w14:paraId="5F7C538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1、冷光源具有≥2种以上的照明模式:白光照明、ICG荧光照明；</w:t>
            </w:r>
          </w:p>
          <w:p w14:paraId="6A396C0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2、白光照明采用纯白光LED，光谱连续度高，色温4200～6200K、显色指数≥85，LED寿命≥28000小时；</w:t>
            </w:r>
          </w:p>
          <w:p w14:paraId="4C4833D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★3、ICG荧光照明采用近红外激光，其中激光光源光谱波段为805±10nm；</w:t>
            </w:r>
          </w:p>
          <w:p w14:paraId="542941D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4、MB荧光照明采用近红外激光和白光同时输出，其中激光光源光谱波段为660±10nm;</w:t>
            </w:r>
          </w:p>
          <w:p w14:paraId="6852BCC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5、具有待机功能；</w:t>
            </w:r>
          </w:p>
          <w:p w14:paraId="5480A4B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6、具有双重出光防护功能，未插入光纤时光源关闭，避免对人眼的意外损伤；</w:t>
            </w:r>
          </w:p>
          <w:p w14:paraId="37CAE857">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7、通过专用的数据通信线连接光源，实时查看光源设备状态，其中包含使用时长、光源温度、光源功率等</w:t>
            </w:r>
          </w:p>
          <w:p w14:paraId="7A861D74">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8、与系统主机连接后，具有AI智能调光功能，根据观察距离自动调整光强，避免潜在风险；</w:t>
            </w:r>
          </w:p>
          <w:p w14:paraId="4DBBFF3E">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9、纤维导光束：直径≥4.5mm、长度≥250cm，可同时传输可见光及近红外光；</w:t>
            </w:r>
          </w:p>
          <w:p w14:paraId="60A6D533">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（四）腹腔内窥镜</w:t>
            </w:r>
          </w:p>
          <w:p w14:paraId="32D217D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1．可传输白光和近红外光；</w:t>
            </w:r>
          </w:p>
          <w:p w14:paraId="23BEABCC">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2．直径10mm，工作长度≥320mm，可高温高压灭菌或低温等离子灭菌；</w:t>
            </w:r>
          </w:p>
          <w:p w14:paraId="7F06F36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3.30°视向角；</w:t>
            </w:r>
          </w:p>
          <w:p w14:paraId="79FC0C5F">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4．腹腔内窥镜与摄像系统为同一品牌，确保图像的高质量成像；</w:t>
            </w:r>
          </w:p>
          <w:p w14:paraId="4BCA7AF4">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（五）医用监视器</w:t>
            </w:r>
          </w:p>
          <w:p w14:paraId="0A5372D4">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1．高清，分辨率≥3840x2160；</w:t>
            </w:r>
          </w:p>
          <w:p w14:paraId="3DC91338">
            <w:pPr>
              <w:wordWrap w:val="0"/>
              <w:ind w:right="140" w:firstLine="420"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2．采用LED背光，亮度≥700cd/m2;</w:t>
            </w:r>
          </w:p>
          <w:p w14:paraId="2A3B2F05">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（六）气腹机</w:t>
            </w:r>
          </w:p>
          <w:p w14:paraId="590DEA01">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1．高流量C02气腹机，最大气流量≥30L／分；</w:t>
            </w:r>
          </w:p>
          <w:p w14:paraId="516BE931">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2．压力设定范围为6-25mmHg；</w:t>
            </w:r>
          </w:p>
          <w:p w14:paraId="0473D29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3．最大输出压力：≥25mmHg；</w:t>
            </w:r>
          </w:p>
          <w:p w14:paraId="6FF2CD19">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4．具有一体化管组，包括无菌过滤器、加热丝、气腹管；</w:t>
            </w:r>
          </w:p>
          <w:p w14:paraId="0723CA5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5．具备图形显示声光报警功能；</w:t>
            </w:r>
          </w:p>
          <w:p w14:paraId="2B3D70A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6．充气流量级别可自行编程设定，满足各种类型患者的手术需求；</w:t>
            </w:r>
          </w:p>
          <w:p w14:paraId="0D7A3895">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7．具有压力过高感应及自动排气安全功能；</w:t>
            </w:r>
          </w:p>
          <w:p w14:paraId="557A9C44">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8．具有双路安全检测功能；</w:t>
            </w:r>
          </w:p>
          <w:p w14:paraId="39D61F36">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9．具备C02气体加温功能，同时具有温度检测传感器；气体加热温度过高会报警提示并停止加热功能；</w:t>
            </w:r>
          </w:p>
          <w:p w14:paraId="58C08C47">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10．液晶屏显示，显示预设与实时压力检测；</w:t>
            </w:r>
          </w:p>
          <w:p w14:paraId="5DC3E01D">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（七）医用台车</w:t>
            </w:r>
          </w:p>
          <w:p w14:paraId="42A50866">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1．活动式万向支臂，高度可调节，360度旋转，可支持安装≥2个大屏幕显示器；</w:t>
            </w:r>
          </w:p>
          <w:p w14:paraId="50FFB1C5">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2．载物托架可升降调节高度；</w:t>
            </w:r>
          </w:p>
          <w:p w14:paraId="33E365CB">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3．医用静音万向脚轮，其中两只带刹车功能；</w:t>
            </w:r>
          </w:p>
          <w:p w14:paraId="554CAA9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4．便捷式磁吸型的后门紧固方式。</w:t>
            </w:r>
          </w:p>
          <w:p w14:paraId="5F84D271">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最大电流10A过载保护式电源插座；</w:t>
            </w:r>
          </w:p>
          <w:p w14:paraId="348A7162">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标配含六孔电源插线板。</w:t>
            </w:r>
          </w:p>
          <w:p w14:paraId="14E700D7">
            <w:pPr>
              <w:wordWrap w:val="0"/>
              <w:ind w:right="140" w:firstLine="422" w:firstLineChars="2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（八）配置</w:t>
            </w:r>
          </w:p>
          <w:p w14:paraId="581262D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1.内窥镜荧光摄像系统  1台</w:t>
            </w:r>
          </w:p>
          <w:p w14:paraId="5E3BB773">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2.荧光摄像头</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1个</w:t>
            </w:r>
          </w:p>
          <w:p w14:paraId="01181F80">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3.医用冷光源主机</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1台</w:t>
            </w:r>
          </w:p>
          <w:p w14:paraId="784A4778">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4.专用导光束</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1根</w:t>
            </w:r>
          </w:p>
          <w:p w14:paraId="4247F2DD">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5.医用显示器</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2台</w:t>
            </w:r>
          </w:p>
          <w:p w14:paraId="68A22AA6">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6.胸腹腔内窥镜</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2支</w:t>
            </w:r>
          </w:p>
          <w:p w14:paraId="3C1229F5">
            <w:pPr>
              <w:wordWrap w:val="0"/>
              <w:ind w:right="14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7.气腹机</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1台</w:t>
            </w:r>
          </w:p>
          <w:p w14:paraId="5B67221B">
            <w:pPr>
              <w:wordWrap w:val="0"/>
              <w:ind w:right="140" w:righ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rPr>
              <w:t>8.医用内窥镜台车</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  1台</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4347D00">
        <w:tblPrEx>
          <w:tblCellMar>
            <w:top w:w="0" w:type="dxa"/>
            <w:left w:w="108" w:type="dxa"/>
            <w:bottom w:w="0" w:type="dxa"/>
            <w:right w:w="108" w:type="dxa"/>
          </w:tblCellMar>
        </w:tblPrEx>
        <w:trPr>
          <w:trHeight w:val="284"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2133"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1.免费保修期要求：按国家有关产品“三包”规定执行“三包”，整机免费保修</w:t>
            </w:r>
            <w:r>
              <w:rPr>
                <w:rFonts w:hint="eastAsia" w:ascii="宋体" w:hAnsi="宋体"/>
                <w:szCs w:val="21"/>
                <w:lang w:val="en-US" w:eastAsia="zh-CN"/>
              </w:rPr>
              <w:t>3</w:t>
            </w:r>
            <w:r>
              <w:rPr>
                <w:rFonts w:hint="eastAsia" w:ascii="宋体" w:hAnsi="宋体"/>
                <w:szCs w:val="21"/>
              </w:rPr>
              <w:t>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w:t>
            </w:r>
            <w:r>
              <w:rPr>
                <w:rFonts w:hint="eastAsia" w:ascii="宋体" w:hAnsi="宋体"/>
                <w:b/>
                <w:bCs/>
                <w:szCs w:val="21"/>
                <w:lang w:val="en-US" w:eastAsia="zh-CN"/>
              </w:rPr>
              <w:t>二</w:t>
            </w:r>
            <w:r>
              <w:rPr>
                <w:rFonts w:hint="eastAsia" w:ascii="宋体" w:hAnsi="宋体"/>
                <w:b/>
                <w:bCs/>
                <w:szCs w:val="21"/>
              </w:rPr>
              <w:t>）交货期及地点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1004"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w:t>
            </w:r>
            <w:r>
              <w:rPr>
                <w:rFonts w:hint="eastAsia" w:ascii="宋体" w:hAnsi="宋体" w:cs="宋体"/>
                <w:b/>
                <w:bCs/>
                <w:szCs w:val="21"/>
                <w:lang w:val="en-US" w:eastAsia="zh-CN"/>
              </w:rPr>
              <w:t>三</w:t>
            </w:r>
            <w:r>
              <w:rPr>
                <w:rFonts w:hint="eastAsia" w:ascii="宋体" w:hAnsi="宋体" w:cs="宋体"/>
                <w:b/>
                <w:bCs/>
                <w:szCs w:val="21"/>
              </w:rPr>
              <w:t>）付款方式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合同签订且设备验收合格后三个月内首付合同价款的60%；余款运行6个月后支付合同价款的30%；剩余合同价款的10%于验收合格二年后付清，分别为第一年支付5%，第二年支付5%。</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w:t>
            </w:r>
            <w:r>
              <w:rPr>
                <w:rFonts w:hint="eastAsia" w:ascii="宋体" w:hAnsi="宋体"/>
                <w:b/>
                <w:bCs/>
                <w:szCs w:val="21"/>
                <w:lang w:val="en-US" w:eastAsia="zh-CN"/>
              </w:rPr>
              <w:t>四</w:t>
            </w:r>
            <w:r>
              <w:rPr>
                <w:rFonts w:hint="eastAsia" w:ascii="宋体" w:hAnsi="宋体"/>
                <w:b/>
                <w:bCs/>
                <w:szCs w:val="21"/>
              </w:rPr>
              <w:t>）验收要求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1791"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95"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5A9E0AAE">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51E4A0E"/>
    <w:rsid w:val="08C74EF4"/>
    <w:rsid w:val="0B7D69F7"/>
    <w:rsid w:val="0F0C451E"/>
    <w:rsid w:val="1B3209BB"/>
    <w:rsid w:val="1BC83BE6"/>
    <w:rsid w:val="1D357C84"/>
    <w:rsid w:val="2F957AD6"/>
    <w:rsid w:val="459E49A6"/>
    <w:rsid w:val="607A4419"/>
    <w:rsid w:val="63AE518E"/>
    <w:rsid w:val="69116A79"/>
    <w:rsid w:val="6A284960"/>
    <w:rsid w:val="6BD5148F"/>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snapToGrid w:val="0"/>
      <w:ind w:left="360" w:hanging="360"/>
      <w:outlineLvl w:val="0"/>
    </w:pPr>
    <w:rPr>
      <w:rFonts w:ascii="Cambria" w:hAnsi="Cambria" w:eastAsia="微软雅黑" w:cs="Times New Roman"/>
      <w:b/>
      <w:bCs/>
      <w:kern w:val="32"/>
      <w:sz w:val="21"/>
      <w:szCs w:val="32"/>
      <w:lang w:val="en-US" w:eastAsia="zh-CN" w:bidi="ar-SA"/>
    </w:rPr>
  </w:style>
  <w:style w:type="paragraph" w:styleId="3">
    <w:name w:val="heading 2"/>
    <w:next w:val="1"/>
    <w:qFormat/>
    <w:uiPriority w:val="9"/>
    <w:pPr>
      <w:snapToGrid w:val="0"/>
      <w:ind w:left="284" w:hanging="420"/>
      <w:outlineLvl w:val="1"/>
    </w:pPr>
    <w:rPr>
      <w:rFonts w:ascii="微软雅黑" w:hAnsi="微软雅黑" w:eastAsia="微软雅黑" w:cs="Times New Roman"/>
      <w:b/>
      <w:bCs/>
      <w:kern w:val="2"/>
      <w:sz w:val="21"/>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2965</Words>
  <Characters>3229</Characters>
  <Lines>0</Lines>
  <Paragraphs>0</Paragraphs>
  <TotalTime>0</TotalTime>
  <ScaleCrop>false</ScaleCrop>
  <LinksUpToDate>false</LinksUpToDate>
  <CharactersWithSpaces>3267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2025-10-09T00:56:00Z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